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E423C" w14:textId="7F0205C2" w:rsidR="00EA567A" w:rsidRDefault="00E37191" w:rsidP="00EA567A">
      <w:r>
        <w:rPr>
          <w:b/>
          <w:noProof/>
          <w:u w:val="single"/>
          <w:lang w:eastAsia="fr-FR"/>
        </w:rPr>
        <w:drawing>
          <wp:inline distT="0" distB="0" distL="0" distR="0" wp14:anchorId="0B894B96" wp14:editId="03FAF767">
            <wp:extent cx="5727700" cy="781050"/>
            <wp:effectExtent l="0" t="0" r="635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781050"/>
                    </a:xfrm>
                    <a:prstGeom prst="rect">
                      <a:avLst/>
                    </a:prstGeom>
                    <a:noFill/>
                    <a:ln>
                      <a:noFill/>
                    </a:ln>
                  </pic:spPr>
                </pic:pic>
              </a:graphicData>
            </a:graphic>
          </wp:inline>
        </w:drawing>
      </w:r>
      <w:r w:rsidR="004E7613">
        <w:rPr>
          <w:b/>
          <w:bCs/>
        </w:rPr>
        <w:t>0</w:t>
      </w:r>
      <w:r w:rsidR="00AB363D">
        <w:rPr>
          <w:b/>
          <w:bCs/>
        </w:rPr>
        <w:t>5</w:t>
      </w:r>
      <w:r w:rsidR="004E7613">
        <w:rPr>
          <w:b/>
          <w:bCs/>
        </w:rPr>
        <w:t>/2025</w:t>
      </w:r>
    </w:p>
    <w:p w14:paraId="6C995E2C" w14:textId="6EBF98C3" w:rsidR="008114A3" w:rsidRPr="005C3B42" w:rsidRDefault="005C3B42" w:rsidP="005C3B42">
      <w:pPr>
        <w:jc w:val="center"/>
        <w:rPr>
          <w:rFonts w:ascii="Arial Black" w:hAnsi="Arial Black" w:cstheme="minorHAnsi"/>
          <w:color w:val="0070C0"/>
          <w:sz w:val="32"/>
          <w:szCs w:val="32"/>
        </w:rPr>
      </w:pPr>
      <w:r w:rsidRPr="005C3B42">
        <w:rPr>
          <w:rFonts w:ascii="Arial Black" w:hAnsi="Arial Black" w:cstheme="minorHAnsi"/>
          <w:color w:val="0070C0"/>
          <w:sz w:val="32"/>
          <w:szCs w:val="32"/>
        </w:rPr>
        <w:t>I</w:t>
      </w:r>
      <w:r w:rsidR="008114A3" w:rsidRPr="005C3B42">
        <w:rPr>
          <w:rFonts w:ascii="Arial Black" w:hAnsi="Arial Black" w:cstheme="minorHAnsi"/>
          <w:color w:val="0070C0"/>
          <w:sz w:val="32"/>
          <w:szCs w:val="32"/>
        </w:rPr>
        <w:t>ntéressement 2025-2027</w:t>
      </w:r>
      <w:r w:rsidR="00DE2C7F" w:rsidRPr="005C3B42">
        <w:rPr>
          <w:rFonts w:ascii="Arial Black" w:hAnsi="Arial Black" w:cstheme="minorHAnsi"/>
          <w:color w:val="0070C0"/>
          <w:sz w:val="32"/>
          <w:szCs w:val="32"/>
        </w:rPr>
        <w:t> :</w:t>
      </w:r>
      <w:r w:rsidRPr="005C3B42">
        <w:rPr>
          <w:rFonts w:ascii="Arial Black" w:hAnsi="Arial Black" w:cstheme="minorHAnsi"/>
          <w:color w:val="0070C0"/>
          <w:sz w:val="32"/>
          <w:szCs w:val="32"/>
        </w:rPr>
        <w:t xml:space="preserve"> c’est NON en l’état !</w:t>
      </w:r>
    </w:p>
    <w:p w14:paraId="7608CE8A" w14:textId="77777777" w:rsidR="00014621" w:rsidRPr="007928C7" w:rsidRDefault="00014621" w:rsidP="00EB5D54">
      <w:pPr>
        <w:pStyle w:val="NormalWeb"/>
        <w:jc w:val="both"/>
        <w:rPr>
          <w:rFonts w:asciiTheme="minorHAnsi" w:hAnsiTheme="minorHAnsi" w:cstheme="minorHAnsi"/>
          <w:sz w:val="26"/>
          <w:szCs w:val="26"/>
        </w:rPr>
      </w:pPr>
      <w:r w:rsidRPr="007928C7">
        <w:rPr>
          <w:rFonts w:asciiTheme="minorHAnsi" w:hAnsiTheme="minorHAnsi" w:cstheme="minorHAnsi"/>
          <w:sz w:val="26"/>
          <w:szCs w:val="26"/>
        </w:rPr>
        <w:t>À l’issue de la cinquième réunion de négociation qui s’est tenue le mercredi 21 mai, force est de constater que le projet d’accord présenté reste très éloigné d’une proposition acceptable, et ce malgré une évolution de la clé de répartition portée à 60/40.</w:t>
      </w:r>
    </w:p>
    <w:p w14:paraId="4AE87EF1" w14:textId="77777777" w:rsidR="00014621" w:rsidRPr="007928C7" w:rsidRDefault="00014621" w:rsidP="00EB5D54">
      <w:pPr>
        <w:pStyle w:val="NormalWeb"/>
        <w:jc w:val="both"/>
        <w:rPr>
          <w:rFonts w:asciiTheme="minorHAnsi" w:hAnsiTheme="minorHAnsi" w:cstheme="minorHAnsi"/>
          <w:sz w:val="26"/>
          <w:szCs w:val="26"/>
        </w:rPr>
      </w:pPr>
      <w:r w:rsidRPr="007928C7">
        <w:rPr>
          <w:rFonts w:asciiTheme="minorHAnsi" w:hAnsiTheme="minorHAnsi" w:cstheme="minorHAnsi"/>
          <w:sz w:val="26"/>
          <w:szCs w:val="26"/>
        </w:rPr>
        <w:t>Alors même que le Président du Directoire affirme vouloir récompenser les salariés à hauteur de l’amélioration des résultats de l’entreprise, les faits démontrent le contraire.</w:t>
      </w:r>
    </w:p>
    <w:p w14:paraId="68F40E5D" w14:textId="0BF01846" w:rsidR="008D2DBA" w:rsidRDefault="00014621" w:rsidP="00700DA2">
      <w:pPr>
        <w:pStyle w:val="NormalWeb"/>
        <w:jc w:val="both"/>
        <w:rPr>
          <w:rFonts w:asciiTheme="minorHAnsi" w:hAnsiTheme="minorHAnsi" w:cstheme="minorHAnsi"/>
          <w:sz w:val="26"/>
          <w:szCs w:val="26"/>
        </w:rPr>
      </w:pPr>
      <w:r w:rsidRPr="007928C7">
        <w:rPr>
          <w:rFonts w:asciiTheme="minorHAnsi" w:hAnsiTheme="minorHAnsi" w:cstheme="minorHAnsi"/>
          <w:sz w:val="26"/>
          <w:szCs w:val="26"/>
        </w:rPr>
        <w:t xml:space="preserve">Pas moins de </w:t>
      </w:r>
      <w:r w:rsidRPr="007928C7">
        <w:rPr>
          <w:rStyle w:val="lev"/>
          <w:rFonts w:asciiTheme="minorHAnsi" w:eastAsiaTheme="majorEastAsia" w:hAnsiTheme="minorHAnsi" w:cstheme="minorHAnsi"/>
          <w:sz w:val="26"/>
          <w:szCs w:val="26"/>
        </w:rPr>
        <w:t>huit critères</w:t>
      </w:r>
      <w:r w:rsidR="00EB5D54" w:rsidRPr="007928C7">
        <w:rPr>
          <w:rStyle w:val="lev"/>
          <w:rFonts w:asciiTheme="minorHAnsi" w:eastAsiaTheme="majorEastAsia" w:hAnsiTheme="minorHAnsi" w:cstheme="minorHAnsi"/>
          <w:sz w:val="26"/>
          <w:szCs w:val="26"/>
        </w:rPr>
        <w:t>*</w:t>
      </w:r>
      <w:r w:rsidRPr="007928C7">
        <w:rPr>
          <w:rFonts w:asciiTheme="minorHAnsi" w:hAnsiTheme="minorHAnsi" w:cstheme="minorHAnsi"/>
          <w:sz w:val="26"/>
          <w:szCs w:val="26"/>
        </w:rPr>
        <w:t xml:space="preserve"> sont exigés pour le calcul de l’intéressement</w:t>
      </w:r>
      <w:r w:rsidR="006A4765" w:rsidRPr="007928C7">
        <w:rPr>
          <w:rFonts w:asciiTheme="minorHAnsi" w:hAnsiTheme="minorHAnsi" w:cstheme="minorHAnsi"/>
          <w:sz w:val="26"/>
          <w:szCs w:val="26"/>
        </w:rPr>
        <w:t>,</w:t>
      </w:r>
      <w:r w:rsidRPr="007928C7">
        <w:rPr>
          <w:rFonts w:asciiTheme="minorHAnsi" w:hAnsiTheme="minorHAnsi" w:cstheme="minorHAnsi"/>
          <w:sz w:val="26"/>
          <w:szCs w:val="26"/>
        </w:rPr>
        <w:t xml:space="preserve"> contre </w:t>
      </w:r>
      <w:r w:rsidRPr="007928C7">
        <w:rPr>
          <w:rStyle w:val="lev"/>
          <w:rFonts w:asciiTheme="minorHAnsi" w:eastAsiaTheme="majorEastAsia" w:hAnsiTheme="minorHAnsi" w:cstheme="minorHAnsi"/>
          <w:sz w:val="26"/>
          <w:szCs w:val="26"/>
        </w:rPr>
        <w:t>quatre à cinq en moyenne</w:t>
      </w:r>
      <w:r w:rsidRPr="007928C7">
        <w:rPr>
          <w:rFonts w:asciiTheme="minorHAnsi" w:hAnsiTheme="minorHAnsi" w:cstheme="minorHAnsi"/>
          <w:sz w:val="26"/>
          <w:szCs w:val="26"/>
        </w:rPr>
        <w:t xml:space="preserve"> dans les autres Caisses d’Épargne. Le principal d’entre eux, le </w:t>
      </w:r>
      <w:r w:rsidRPr="007928C7">
        <w:rPr>
          <w:rStyle w:val="lev"/>
          <w:rFonts w:asciiTheme="minorHAnsi" w:eastAsiaTheme="majorEastAsia" w:hAnsiTheme="minorHAnsi" w:cstheme="minorHAnsi"/>
          <w:sz w:val="26"/>
          <w:szCs w:val="26"/>
        </w:rPr>
        <w:t>Résultat Courant Avant Impôt (RCAI)</w:t>
      </w:r>
      <w:r w:rsidRPr="007928C7">
        <w:rPr>
          <w:rFonts w:asciiTheme="minorHAnsi" w:hAnsiTheme="minorHAnsi" w:cstheme="minorHAnsi"/>
          <w:sz w:val="26"/>
          <w:szCs w:val="26"/>
        </w:rPr>
        <w:t xml:space="preserve">, repose sur une projection budgétaire particulièrement ambitieuse. Or, </w:t>
      </w:r>
      <w:r w:rsidRPr="007928C7">
        <w:rPr>
          <w:rStyle w:val="lev"/>
          <w:rFonts w:asciiTheme="minorHAnsi" w:eastAsiaTheme="majorEastAsia" w:hAnsiTheme="minorHAnsi" w:cstheme="minorHAnsi"/>
          <w:sz w:val="26"/>
          <w:szCs w:val="26"/>
        </w:rPr>
        <w:t>aucune des projections</w:t>
      </w:r>
      <w:r w:rsidRPr="007928C7">
        <w:rPr>
          <w:rFonts w:asciiTheme="minorHAnsi" w:hAnsiTheme="minorHAnsi" w:cstheme="minorHAnsi"/>
          <w:sz w:val="26"/>
          <w:szCs w:val="26"/>
        </w:rPr>
        <w:t xml:space="preserve"> des </w:t>
      </w:r>
      <w:r w:rsidR="00C24A8C">
        <w:rPr>
          <w:rFonts w:asciiTheme="minorHAnsi" w:hAnsiTheme="minorHAnsi" w:cstheme="minorHAnsi"/>
          <w:sz w:val="26"/>
          <w:szCs w:val="26"/>
        </w:rPr>
        <w:t>différents</w:t>
      </w:r>
      <w:r w:rsidR="007D4F54">
        <w:rPr>
          <w:rFonts w:asciiTheme="minorHAnsi" w:hAnsiTheme="minorHAnsi" w:cstheme="minorHAnsi"/>
          <w:sz w:val="26"/>
          <w:szCs w:val="26"/>
        </w:rPr>
        <w:t xml:space="preserve"> </w:t>
      </w:r>
      <w:r w:rsidRPr="007928C7">
        <w:rPr>
          <w:rFonts w:asciiTheme="minorHAnsi" w:hAnsiTheme="minorHAnsi" w:cstheme="minorHAnsi"/>
          <w:sz w:val="26"/>
          <w:szCs w:val="26"/>
        </w:rPr>
        <w:t xml:space="preserve">Directoires </w:t>
      </w:r>
      <w:r w:rsidRPr="007928C7">
        <w:rPr>
          <w:rStyle w:val="lev"/>
          <w:rFonts w:asciiTheme="minorHAnsi" w:eastAsiaTheme="majorEastAsia" w:hAnsiTheme="minorHAnsi" w:cstheme="minorHAnsi"/>
          <w:sz w:val="26"/>
          <w:szCs w:val="26"/>
        </w:rPr>
        <w:t>n’a</w:t>
      </w:r>
      <w:r w:rsidR="000D19F9">
        <w:rPr>
          <w:rStyle w:val="lev"/>
          <w:rFonts w:asciiTheme="minorHAnsi" w:eastAsiaTheme="majorEastAsia" w:hAnsiTheme="minorHAnsi" w:cstheme="minorHAnsi"/>
          <w:sz w:val="26"/>
          <w:szCs w:val="26"/>
        </w:rPr>
        <w:t xml:space="preserve"> j</w:t>
      </w:r>
      <w:r w:rsidRPr="007928C7">
        <w:rPr>
          <w:rStyle w:val="lev"/>
          <w:rFonts w:asciiTheme="minorHAnsi" w:eastAsiaTheme="majorEastAsia" w:hAnsiTheme="minorHAnsi" w:cstheme="minorHAnsi"/>
          <w:sz w:val="26"/>
          <w:szCs w:val="26"/>
        </w:rPr>
        <w:t>amais été atteinte</w:t>
      </w:r>
      <w:r w:rsidR="006A4765" w:rsidRPr="007928C7">
        <w:rPr>
          <w:rStyle w:val="lev"/>
          <w:rFonts w:asciiTheme="minorHAnsi" w:eastAsiaTheme="majorEastAsia" w:hAnsiTheme="minorHAnsi" w:cstheme="minorHAnsi"/>
          <w:sz w:val="26"/>
          <w:szCs w:val="26"/>
        </w:rPr>
        <w:t xml:space="preserve"> </w:t>
      </w:r>
      <w:r w:rsidRPr="007928C7">
        <w:rPr>
          <w:rFonts w:asciiTheme="minorHAnsi" w:hAnsiTheme="minorHAnsi" w:cstheme="minorHAnsi"/>
          <w:sz w:val="26"/>
          <w:szCs w:val="26"/>
        </w:rPr>
        <w:t>!</w:t>
      </w:r>
    </w:p>
    <w:p w14:paraId="545AB24D" w14:textId="1F44C020" w:rsidR="00014621" w:rsidRPr="007928C7" w:rsidRDefault="00014621" w:rsidP="00F200BB">
      <w:pPr>
        <w:pStyle w:val="NormalWeb"/>
        <w:jc w:val="both"/>
        <w:rPr>
          <w:rFonts w:asciiTheme="minorHAnsi" w:hAnsiTheme="minorHAnsi" w:cstheme="minorHAnsi"/>
          <w:sz w:val="26"/>
          <w:szCs w:val="26"/>
        </w:rPr>
      </w:pPr>
      <w:r w:rsidRPr="007928C7">
        <w:rPr>
          <w:rFonts w:asciiTheme="minorHAnsi" w:hAnsiTheme="minorHAnsi" w:cstheme="minorHAnsi"/>
          <w:sz w:val="26"/>
          <w:szCs w:val="26"/>
        </w:rPr>
        <w:t>Pire encore, l’enveloppe d’intéressement est directement conditionnée à la progression de ce même indicateur.</w:t>
      </w:r>
    </w:p>
    <w:p w14:paraId="36770A24" w14:textId="77777777" w:rsidR="00014621" w:rsidRPr="007928C7" w:rsidRDefault="00014621" w:rsidP="00EB5D54">
      <w:pPr>
        <w:pStyle w:val="NormalWeb"/>
        <w:jc w:val="both"/>
        <w:rPr>
          <w:rFonts w:asciiTheme="minorHAnsi" w:hAnsiTheme="minorHAnsi" w:cstheme="minorHAnsi"/>
          <w:sz w:val="26"/>
          <w:szCs w:val="26"/>
        </w:rPr>
      </w:pPr>
      <w:r w:rsidRPr="007928C7">
        <w:rPr>
          <w:rFonts w:asciiTheme="minorHAnsi" w:hAnsiTheme="minorHAnsi" w:cstheme="minorHAnsi"/>
          <w:sz w:val="26"/>
          <w:szCs w:val="26"/>
        </w:rPr>
        <w:t>Lors de cette réunion, nous avons une nouvelle fois formulé des demandes claires :</w:t>
      </w:r>
    </w:p>
    <w:p w14:paraId="0FCCDC93" w14:textId="77777777" w:rsidR="00014621" w:rsidRPr="007928C7" w:rsidRDefault="00014621" w:rsidP="00EB5D54">
      <w:pPr>
        <w:pStyle w:val="NormalWeb"/>
        <w:numPr>
          <w:ilvl w:val="0"/>
          <w:numId w:val="2"/>
        </w:numPr>
        <w:jc w:val="both"/>
        <w:rPr>
          <w:rFonts w:asciiTheme="minorHAnsi" w:hAnsiTheme="minorHAnsi" w:cstheme="minorHAnsi"/>
          <w:sz w:val="26"/>
          <w:szCs w:val="26"/>
        </w:rPr>
      </w:pPr>
      <w:r w:rsidRPr="007928C7">
        <w:rPr>
          <w:rFonts w:asciiTheme="minorHAnsi" w:hAnsiTheme="minorHAnsi" w:cstheme="minorHAnsi"/>
          <w:sz w:val="26"/>
          <w:szCs w:val="26"/>
        </w:rPr>
        <w:t xml:space="preserve">Une </w:t>
      </w:r>
      <w:r w:rsidRPr="007928C7">
        <w:rPr>
          <w:rStyle w:val="lev"/>
          <w:rFonts w:asciiTheme="minorHAnsi" w:eastAsiaTheme="majorEastAsia" w:hAnsiTheme="minorHAnsi" w:cstheme="minorHAnsi"/>
          <w:sz w:val="26"/>
          <w:szCs w:val="26"/>
        </w:rPr>
        <w:t>réduction du nombre de critères</w:t>
      </w:r>
      <w:r w:rsidRPr="007928C7">
        <w:rPr>
          <w:rFonts w:asciiTheme="minorHAnsi" w:hAnsiTheme="minorHAnsi" w:cstheme="minorHAnsi"/>
          <w:sz w:val="26"/>
          <w:szCs w:val="26"/>
        </w:rPr>
        <w:t xml:space="preserve"> ;</w:t>
      </w:r>
    </w:p>
    <w:p w14:paraId="4136B08B" w14:textId="77777777" w:rsidR="00014621" w:rsidRPr="007928C7" w:rsidRDefault="00014621" w:rsidP="00EB5D54">
      <w:pPr>
        <w:pStyle w:val="NormalWeb"/>
        <w:numPr>
          <w:ilvl w:val="0"/>
          <w:numId w:val="2"/>
        </w:numPr>
        <w:jc w:val="both"/>
        <w:rPr>
          <w:rFonts w:asciiTheme="minorHAnsi" w:hAnsiTheme="minorHAnsi" w:cstheme="minorHAnsi"/>
          <w:sz w:val="26"/>
          <w:szCs w:val="26"/>
        </w:rPr>
      </w:pPr>
      <w:r w:rsidRPr="007928C7">
        <w:rPr>
          <w:rFonts w:asciiTheme="minorHAnsi" w:hAnsiTheme="minorHAnsi" w:cstheme="minorHAnsi"/>
          <w:sz w:val="26"/>
          <w:szCs w:val="26"/>
        </w:rPr>
        <w:t xml:space="preserve">Un </w:t>
      </w:r>
      <w:r w:rsidRPr="007928C7">
        <w:rPr>
          <w:rStyle w:val="lev"/>
          <w:rFonts w:asciiTheme="minorHAnsi" w:eastAsiaTheme="majorEastAsia" w:hAnsiTheme="minorHAnsi" w:cstheme="minorHAnsi"/>
          <w:sz w:val="26"/>
          <w:szCs w:val="26"/>
        </w:rPr>
        <w:t>pourcentage fixe de l’enveloppe</w:t>
      </w:r>
      <w:r w:rsidRPr="007928C7">
        <w:rPr>
          <w:rFonts w:asciiTheme="minorHAnsi" w:hAnsiTheme="minorHAnsi" w:cstheme="minorHAnsi"/>
          <w:sz w:val="26"/>
          <w:szCs w:val="26"/>
        </w:rPr>
        <w:t xml:space="preserve"> d’intéressement ;</w:t>
      </w:r>
    </w:p>
    <w:p w14:paraId="6A1FA6BA" w14:textId="77777777" w:rsidR="00014621" w:rsidRPr="007928C7" w:rsidRDefault="00014621" w:rsidP="00EB5D54">
      <w:pPr>
        <w:pStyle w:val="NormalWeb"/>
        <w:numPr>
          <w:ilvl w:val="0"/>
          <w:numId w:val="2"/>
        </w:numPr>
        <w:jc w:val="both"/>
        <w:rPr>
          <w:rFonts w:asciiTheme="minorHAnsi" w:hAnsiTheme="minorHAnsi" w:cstheme="minorHAnsi"/>
          <w:sz w:val="26"/>
          <w:szCs w:val="26"/>
        </w:rPr>
      </w:pPr>
      <w:r w:rsidRPr="007928C7">
        <w:rPr>
          <w:rFonts w:asciiTheme="minorHAnsi" w:hAnsiTheme="minorHAnsi" w:cstheme="minorHAnsi"/>
          <w:sz w:val="26"/>
          <w:szCs w:val="26"/>
        </w:rPr>
        <w:t xml:space="preserve">Un </w:t>
      </w:r>
      <w:r w:rsidRPr="007928C7">
        <w:rPr>
          <w:rStyle w:val="lev"/>
          <w:rFonts w:asciiTheme="minorHAnsi" w:eastAsiaTheme="majorEastAsia" w:hAnsiTheme="minorHAnsi" w:cstheme="minorHAnsi"/>
          <w:sz w:val="26"/>
          <w:szCs w:val="26"/>
        </w:rPr>
        <w:t>bonus basé sur la création de valeur CORE TIER ONE</w:t>
      </w:r>
      <w:r w:rsidRPr="007928C7">
        <w:rPr>
          <w:rFonts w:asciiTheme="minorHAnsi" w:hAnsiTheme="minorHAnsi" w:cstheme="minorHAnsi"/>
          <w:sz w:val="26"/>
          <w:szCs w:val="26"/>
        </w:rPr>
        <w:t>, en écho à celui perçu par nos mandataires.</w:t>
      </w:r>
    </w:p>
    <w:p w14:paraId="5B4C0C6E" w14:textId="77777777" w:rsidR="00014621" w:rsidRPr="007928C7" w:rsidRDefault="00014621" w:rsidP="00EB5D54">
      <w:pPr>
        <w:pStyle w:val="NormalWeb"/>
        <w:jc w:val="both"/>
        <w:rPr>
          <w:rFonts w:asciiTheme="minorHAnsi" w:hAnsiTheme="minorHAnsi" w:cstheme="minorHAnsi"/>
          <w:sz w:val="26"/>
          <w:szCs w:val="26"/>
        </w:rPr>
      </w:pPr>
      <w:r w:rsidRPr="007928C7">
        <w:rPr>
          <w:rFonts w:asciiTheme="minorHAnsi" w:hAnsiTheme="minorHAnsi" w:cstheme="minorHAnsi"/>
          <w:sz w:val="26"/>
          <w:szCs w:val="26"/>
        </w:rPr>
        <w:t xml:space="preserve">Nous attendons que la prochaine réunion, prévue le </w:t>
      </w:r>
      <w:r w:rsidRPr="007928C7">
        <w:rPr>
          <w:rStyle w:val="lev"/>
          <w:rFonts w:asciiTheme="minorHAnsi" w:eastAsiaTheme="majorEastAsia" w:hAnsiTheme="minorHAnsi" w:cstheme="minorHAnsi"/>
          <w:sz w:val="26"/>
          <w:szCs w:val="26"/>
        </w:rPr>
        <w:t>5 juin 2025</w:t>
      </w:r>
      <w:r w:rsidRPr="007928C7">
        <w:rPr>
          <w:rFonts w:asciiTheme="minorHAnsi" w:hAnsiTheme="minorHAnsi" w:cstheme="minorHAnsi"/>
          <w:sz w:val="26"/>
          <w:szCs w:val="26"/>
        </w:rPr>
        <w:t xml:space="preserve">, traduise enfin dans les faits les engagements affichés par le Président du Directoire, et soit </w:t>
      </w:r>
      <w:r w:rsidRPr="007928C7">
        <w:rPr>
          <w:rStyle w:val="lev"/>
          <w:rFonts w:asciiTheme="minorHAnsi" w:eastAsiaTheme="majorEastAsia" w:hAnsiTheme="minorHAnsi" w:cstheme="minorHAnsi"/>
          <w:sz w:val="26"/>
          <w:szCs w:val="26"/>
        </w:rPr>
        <w:t>à la hauteur de l’implication quotidienne</w:t>
      </w:r>
      <w:r w:rsidRPr="007928C7">
        <w:rPr>
          <w:rFonts w:asciiTheme="minorHAnsi" w:hAnsiTheme="minorHAnsi" w:cstheme="minorHAnsi"/>
          <w:sz w:val="26"/>
          <w:szCs w:val="26"/>
        </w:rPr>
        <w:t xml:space="preserve"> des salariés.</w:t>
      </w:r>
    </w:p>
    <w:p w14:paraId="0F85B028" w14:textId="5C512DE1" w:rsidR="00014621" w:rsidRPr="007928C7" w:rsidRDefault="00014621" w:rsidP="00EB5D54">
      <w:pPr>
        <w:pStyle w:val="NormalWeb"/>
        <w:jc w:val="both"/>
        <w:rPr>
          <w:rFonts w:asciiTheme="minorHAnsi" w:hAnsiTheme="minorHAnsi" w:cstheme="minorHAnsi"/>
          <w:sz w:val="26"/>
          <w:szCs w:val="26"/>
        </w:rPr>
      </w:pPr>
      <w:r w:rsidRPr="007928C7">
        <w:rPr>
          <w:rFonts w:asciiTheme="minorHAnsi" w:hAnsiTheme="minorHAnsi" w:cstheme="minorHAnsi"/>
          <w:sz w:val="26"/>
          <w:szCs w:val="26"/>
        </w:rPr>
        <w:t xml:space="preserve">L’enjeu est majeur : </w:t>
      </w:r>
      <w:r w:rsidRPr="007928C7">
        <w:rPr>
          <w:rStyle w:val="lev"/>
          <w:rFonts w:asciiTheme="minorHAnsi" w:eastAsiaTheme="majorEastAsia" w:hAnsiTheme="minorHAnsi" w:cstheme="minorHAnsi"/>
          <w:sz w:val="26"/>
          <w:szCs w:val="26"/>
        </w:rPr>
        <w:t>le pouvoir d’achat de l’ensemble des collaborateurs de CELDA pour les trois prochaines années</w:t>
      </w:r>
      <w:r w:rsidRPr="007928C7">
        <w:rPr>
          <w:rFonts w:asciiTheme="minorHAnsi" w:hAnsiTheme="minorHAnsi" w:cstheme="minorHAnsi"/>
          <w:sz w:val="26"/>
          <w:szCs w:val="26"/>
        </w:rPr>
        <w:t xml:space="preserve">, mais aussi </w:t>
      </w:r>
      <w:r w:rsidRPr="007928C7">
        <w:rPr>
          <w:rStyle w:val="lev"/>
          <w:rFonts w:asciiTheme="minorHAnsi" w:eastAsiaTheme="majorEastAsia" w:hAnsiTheme="minorHAnsi" w:cstheme="minorHAnsi"/>
          <w:sz w:val="26"/>
          <w:szCs w:val="26"/>
        </w:rPr>
        <w:t xml:space="preserve">la stabilité </w:t>
      </w:r>
      <w:r w:rsidRPr="007928C7">
        <w:rPr>
          <w:rFonts w:asciiTheme="minorHAnsi" w:hAnsiTheme="minorHAnsi" w:cstheme="minorHAnsi"/>
          <w:sz w:val="26"/>
          <w:szCs w:val="26"/>
        </w:rPr>
        <w:t>de l’entreprise.</w:t>
      </w:r>
    </w:p>
    <w:p w14:paraId="16C399FE" w14:textId="69BA4079" w:rsidR="00014621" w:rsidRPr="007928C7" w:rsidRDefault="00014621" w:rsidP="00EB5D54">
      <w:pPr>
        <w:pStyle w:val="NormalWeb"/>
        <w:jc w:val="both"/>
        <w:rPr>
          <w:rFonts w:asciiTheme="minorHAnsi" w:hAnsiTheme="minorHAnsi" w:cstheme="minorHAnsi"/>
          <w:sz w:val="26"/>
          <w:szCs w:val="26"/>
        </w:rPr>
      </w:pPr>
      <w:r w:rsidRPr="007928C7">
        <w:rPr>
          <w:rFonts w:asciiTheme="minorHAnsi" w:hAnsiTheme="minorHAnsi" w:cstheme="minorHAnsi"/>
          <w:sz w:val="26"/>
          <w:szCs w:val="26"/>
        </w:rPr>
        <w:t xml:space="preserve">Nous en appelons solennellement au </w:t>
      </w:r>
      <w:r w:rsidRPr="007928C7">
        <w:rPr>
          <w:rStyle w:val="lev"/>
          <w:rFonts w:asciiTheme="minorHAnsi" w:eastAsiaTheme="majorEastAsia" w:hAnsiTheme="minorHAnsi" w:cstheme="minorHAnsi"/>
          <w:sz w:val="26"/>
          <w:szCs w:val="26"/>
        </w:rPr>
        <w:t>sens des responsabilités</w:t>
      </w:r>
      <w:r w:rsidRPr="007928C7">
        <w:rPr>
          <w:rFonts w:asciiTheme="minorHAnsi" w:hAnsiTheme="minorHAnsi" w:cstheme="minorHAnsi"/>
          <w:sz w:val="26"/>
          <w:szCs w:val="26"/>
        </w:rPr>
        <w:t xml:space="preserve"> du Directoire et de son Président : </w:t>
      </w:r>
      <w:r w:rsidRPr="007928C7">
        <w:rPr>
          <w:rStyle w:val="lev"/>
          <w:rFonts w:asciiTheme="minorHAnsi" w:eastAsiaTheme="majorEastAsia" w:hAnsiTheme="minorHAnsi" w:cstheme="minorHAnsi"/>
          <w:sz w:val="26"/>
          <w:szCs w:val="26"/>
        </w:rPr>
        <w:t>trouvons</w:t>
      </w:r>
      <w:r w:rsidR="00AD39A1" w:rsidRPr="007928C7">
        <w:rPr>
          <w:rStyle w:val="lev"/>
          <w:rFonts w:asciiTheme="minorHAnsi" w:eastAsiaTheme="majorEastAsia" w:hAnsiTheme="minorHAnsi" w:cstheme="minorHAnsi"/>
          <w:sz w:val="26"/>
          <w:szCs w:val="26"/>
        </w:rPr>
        <w:t xml:space="preserve"> ensemble</w:t>
      </w:r>
      <w:r w:rsidRPr="007928C7">
        <w:rPr>
          <w:rStyle w:val="lev"/>
          <w:rFonts w:asciiTheme="minorHAnsi" w:eastAsiaTheme="majorEastAsia" w:hAnsiTheme="minorHAnsi" w:cstheme="minorHAnsi"/>
          <w:sz w:val="26"/>
          <w:szCs w:val="26"/>
        </w:rPr>
        <w:t xml:space="preserve"> un accord juste</w:t>
      </w:r>
      <w:r w:rsidR="00AD39A1" w:rsidRPr="007928C7">
        <w:rPr>
          <w:rStyle w:val="lev"/>
          <w:rFonts w:asciiTheme="minorHAnsi" w:eastAsiaTheme="majorEastAsia" w:hAnsiTheme="minorHAnsi" w:cstheme="minorHAnsi"/>
          <w:sz w:val="26"/>
          <w:szCs w:val="26"/>
        </w:rPr>
        <w:t xml:space="preserve"> </w:t>
      </w:r>
      <w:r w:rsidRPr="007928C7">
        <w:rPr>
          <w:rStyle w:val="lev"/>
          <w:rFonts w:asciiTheme="minorHAnsi" w:eastAsiaTheme="majorEastAsia" w:hAnsiTheme="minorHAnsi" w:cstheme="minorHAnsi"/>
          <w:sz w:val="26"/>
          <w:szCs w:val="26"/>
        </w:rPr>
        <w:t>!</w:t>
      </w:r>
    </w:p>
    <w:p w14:paraId="2ECB1A34" w14:textId="77777777" w:rsidR="008114A3" w:rsidRPr="00014621" w:rsidRDefault="008114A3" w:rsidP="005C3B42">
      <w:pPr>
        <w:spacing w:after="0"/>
        <w:ind w:firstLine="708"/>
        <w:jc w:val="both"/>
        <w:rPr>
          <w:rFonts w:cstheme="minorHAnsi"/>
          <w:b/>
          <w:bCs/>
          <w:sz w:val="24"/>
          <w:szCs w:val="24"/>
        </w:rPr>
      </w:pPr>
    </w:p>
    <w:p w14:paraId="40B9153B" w14:textId="77777777" w:rsidR="008114A3" w:rsidRPr="003A796D" w:rsidRDefault="008114A3" w:rsidP="008114A3">
      <w:pPr>
        <w:spacing w:after="0"/>
        <w:jc w:val="both"/>
        <w:rPr>
          <w:rFonts w:cstheme="minorHAnsi"/>
          <w:b/>
          <w:bCs/>
          <w:sz w:val="20"/>
          <w:szCs w:val="20"/>
          <w:u w:val="single"/>
        </w:rPr>
      </w:pPr>
      <w:r w:rsidRPr="003A796D">
        <w:rPr>
          <w:rFonts w:cstheme="minorHAnsi"/>
          <w:b/>
          <w:bCs/>
          <w:sz w:val="20"/>
          <w:szCs w:val="20"/>
          <w:u w:val="single"/>
        </w:rPr>
        <w:t>*Indicateurs et poids respectifs</w:t>
      </w:r>
    </w:p>
    <w:p w14:paraId="17705832" w14:textId="77777777" w:rsidR="008114A3" w:rsidRDefault="008114A3" w:rsidP="008114A3">
      <w:pPr>
        <w:jc w:val="both"/>
        <w:rPr>
          <w:rFonts w:cstheme="minorHAnsi"/>
          <w:i/>
          <w:iCs/>
          <w:sz w:val="20"/>
          <w:szCs w:val="20"/>
        </w:rPr>
      </w:pPr>
      <w:r w:rsidRPr="003A796D">
        <w:rPr>
          <w:rFonts w:cstheme="minorHAnsi"/>
          <w:i/>
          <w:iCs/>
          <w:sz w:val="20"/>
          <w:szCs w:val="20"/>
        </w:rPr>
        <w:t xml:space="preserve">Résultat Comptable Avant Impôt (RCAI) 60 % ; Rang au baromètre BDDA 15 % ; % d’agence en OR 5 % ; Rang régional de CELDA en NPS particulier 5 % ; Ventes brutes parts/pros IARD Et prévoyance 5 % ; Evolution du FDC parts/pro et BDR 5 % ; Nombre sociétaires CELDA 2.5 % ; % de salariés sociétaires 2.5 %. </w:t>
      </w:r>
    </w:p>
    <w:p w14:paraId="4BF42EE2" w14:textId="77777777" w:rsidR="008114A3" w:rsidRPr="003A796D" w:rsidRDefault="008114A3" w:rsidP="008114A3">
      <w:pPr>
        <w:jc w:val="both"/>
        <w:rPr>
          <w:rFonts w:cstheme="minorHAnsi"/>
          <w:sz w:val="20"/>
          <w:szCs w:val="20"/>
        </w:rPr>
      </w:pPr>
    </w:p>
    <w:p w14:paraId="2A21C543" w14:textId="77777777" w:rsidR="008114A3" w:rsidRDefault="008114A3" w:rsidP="00D812C6">
      <w:pPr>
        <w:jc w:val="both"/>
        <w:rPr>
          <w:rFonts w:cstheme="minorHAnsi"/>
          <w:sz w:val="28"/>
          <w:szCs w:val="28"/>
        </w:rPr>
      </w:pPr>
    </w:p>
    <w:sectPr w:rsidR="008114A3" w:rsidSect="00677691">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6C5D"/>
    <w:multiLevelType w:val="multilevel"/>
    <w:tmpl w:val="FBC41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E7EED"/>
    <w:multiLevelType w:val="hybridMultilevel"/>
    <w:tmpl w:val="53487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4391603">
    <w:abstractNumId w:val="1"/>
  </w:num>
  <w:num w:numId="2" w16cid:durableId="68656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91"/>
    <w:rsid w:val="000060BC"/>
    <w:rsid w:val="000143EC"/>
    <w:rsid w:val="00014621"/>
    <w:rsid w:val="00014C33"/>
    <w:rsid w:val="00022AC5"/>
    <w:rsid w:val="00023BBA"/>
    <w:rsid w:val="00030BFE"/>
    <w:rsid w:val="00035FF9"/>
    <w:rsid w:val="00041C26"/>
    <w:rsid w:val="000438A7"/>
    <w:rsid w:val="00046FF6"/>
    <w:rsid w:val="0006470E"/>
    <w:rsid w:val="000756D8"/>
    <w:rsid w:val="00087ECF"/>
    <w:rsid w:val="00090574"/>
    <w:rsid w:val="000B18C9"/>
    <w:rsid w:val="000D19F9"/>
    <w:rsid w:val="000D270E"/>
    <w:rsid w:val="000D5F78"/>
    <w:rsid w:val="0011593A"/>
    <w:rsid w:val="00134195"/>
    <w:rsid w:val="0014296B"/>
    <w:rsid w:val="00164506"/>
    <w:rsid w:val="001646A4"/>
    <w:rsid w:val="00173D7D"/>
    <w:rsid w:val="001A6D0F"/>
    <w:rsid w:val="001B7849"/>
    <w:rsid w:val="001C122B"/>
    <w:rsid w:val="001D4A05"/>
    <w:rsid w:val="001E69C9"/>
    <w:rsid w:val="002015C7"/>
    <w:rsid w:val="0020589A"/>
    <w:rsid w:val="00207BA9"/>
    <w:rsid w:val="002221FA"/>
    <w:rsid w:val="00240F9D"/>
    <w:rsid w:val="0024651C"/>
    <w:rsid w:val="0025152B"/>
    <w:rsid w:val="002829EE"/>
    <w:rsid w:val="002A67E3"/>
    <w:rsid w:val="002B680F"/>
    <w:rsid w:val="002C5261"/>
    <w:rsid w:val="002F1D7B"/>
    <w:rsid w:val="002F4A90"/>
    <w:rsid w:val="002F7E3A"/>
    <w:rsid w:val="00302F52"/>
    <w:rsid w:val="00316B45"/>
    <w:rsid w:val="003243F5"/>
    <w:rsid w:val="00325BAA"/>
    <w:rsid w:val="00340B91"/>
    <w:rsid w:val="00342D11"/>
    <w:rsid w:val="00344D8F"/>
    <w:rsid w:val="00356698"/>
    <w:rsid w:val="0036149B"/>
    <w:rsid w:val="00390CE6"/>
    <w:rsid w:val="003A4F30"/>
    <w:rsid w:val="003E4E31"/>
    <w:rsid w:val="003E7D2E"/>
    <w:rsid w:val="003F28E4"/>
    <w:rsid w:val="0041132D"/>
    <w:rsid w:val="0042498D"/>
    <w:rsid w:val="004352DA"/>
    <w:rsid w:val="0045727A"/>
    <w:rsid w:val="00457C99"/>
    <w:rsid w:val="00465470"/>
    <w:rsid w:val="004800BD"/>
    <w:rsid w:val="00480D4D"/>
    <w:rsid w:val="004A3F18"/>
    <w:rsid w:val="004B1B53"/>
    <w:rsid w:val="004B433F"/>
    <w:rsid w:val="004B5BD0"/>
    <w:rsid w:val="004C75BA"/>
    <w:rsid w:val="004D11D1"/>
    <w:rsid w:val="004D4764"/>
    <w:rsid w:val="004D6EEF"/>
    <w:rsid w:val="004E7613"/>
    <w:rsid w:val="00510C29"/>
    <w:rsid w:val="00513429"/>
    <w:rsid w:val="005138C8"/>
    <w:rsid w:val="0052417D"/>
    <w:rsid w:val="00525C16"/>
    <w:rsid w:val="00543103"/>
    <w:rsid w:val="005468E7"/>
    <w:rsid w:val="0056160B"/>
    <w:rsid w:val="005621DD"/>
    <w:rsid w:val="005A209C"/>
    <w:rsid w:val="005A56A7"/>
    <w:rsid w:val="005A6B5B"/>
    <w:rsid w:val="005C3B42"/>
    <w:rsid w:val="005C3D19"/>
    <w:rsid w:val="005D1E8B"/>
    <w:rsid w:val="005D23B2"/>
    <w:rsid w:val="005D2CFE"/>
    <w:rsid w:val="005E2F05"/>
    <w:rsid w:val="005F4E26"/>
    <w:rsid w:val="0066473B"/>
    <w:rsid w:val="00667083"/>
    <w:rsid w:val="00675785"/>
    <w:rsid w:val="00677691"/>
    <w:rsid w:val="006850A8"/>
    <w:rsid w:val="006850E4"/>
    <w:rsid w:val="006A4765"/>
    <w:rsid w:val="006B6683"/>
    <w:rsid w:val="006E72F8"/>
    <w:rsid w:val="00700DA2"/>
    <w:rsid w:val="00727C8B"/>
    <w:rsid w:val="007419C3"/>
    <w:rsid w:val="00773974"/>
    <w:rsid w:val="00781D22"/>
    <w:rsid w:val="007846D0"/>
    <w:rsid w:val="007928C7"/>
    <w:rsid w:val="0079465B"/>
    <w:rsid w:val="007B7D85"/>
    <w:rsid w:val="007C6856"/>
    <w:rsid w:val="007D4F54"/>
    <w:rsid w:val="007D5BA4"/>
    <w:rsid w:val="007D7B5E"/>
    <w:rsid w:val="007E33FC"/>
    <w:rsid w:val="007F13E6"/>
    <w:rsid w:val="008114A3"/>
    <w:rsid w:val="0082073D"/>
    <w:rsid w:val="008231AD"/>
    <w:rsid w:val="008260A3"/>
    <w:rsid w:val="00834542"/>
    <w:rsid w:val="00877D69"/>
    <w:rsid w:val="00885EEF"/>
    <w:rsid w:val="008A7E48"/>
    <w:rsid w:val="008B7622"/>
    <w:rsid w:val="008C46EE"/>
    <w:rsid w:val="008C5FF9"/>
    <w:rsid w:val="008D0E96"/>
    <w:rsid w:val="008D2DBA"/>
    <w:rsid w:val="008D4D10"/>
    <w:rsid w:val="008F37EB"/>
    <w:rsid w:val="009003C7"/>
    <w:rsid w:val="00917A8B"/>
    <w:rsid w:val="00936C16"/>
    <w:rsid w:val="00942184"/>
    <w:rsid w:val="00970EB1"/>
    <w:rsid w:val="00971BC6"/>
    <w:rsid w:val="009779F5"/>
    <w:rsid w:val="00982FDD"/>
    <w:rsid w:val="00991C04"/>
    <w:rsid w:val="00993350"/>
    <w:rsid w:val="009A1449"/>
    <w:rsid w:val="009B5496"/>
    <w:rsid w:val="009C1899"/>
    <w:rsid w:val="009F2B4C"/>
    <w:rsid w:val="00A006F1"/>
    <w:rsid w:val="00A35A66"/>
    <w:rsid w:val="00A45040"/>
    <w:rsid w:val="00A54FF7"/>
    <w:rsid w:val="00A72453"/>
    <w:rsid w:val="00A743F7"/>
    <w:rsid w:val="00A7540E"/>
    <w:rsid w:val="00A9633B"/>
    <w:rsid w:val="00AA796A"/>
    <w:rsid w:val="00AB363D"/>
    <w:rsid w:val="00AB67B5"/>
    <w:rsid w:val="00AC5259"/>
    <w:rsid w:val="00AD39A1"/>
    <w:rsid w:val="00B1687F"/>
    <w:rsid w:val="00B46553"/>
    <w:rsid w:val="00B61D7B"/>
    <w:rsid w:val="00B679F5"/>
    <w:rsid w:val="00B73523"/>
    <w:rsid w:val="00B75846"/>
    <w:rsid w:val="00B816E0"/>
    <w:rsid w:val="00B90F70"/>
    <w:rsid w:val="00BA523C"/>
    <w:rsid w:val="00BD426C"/>
    <w:rsid w:val="00BE4FB2"/>
    <w:rsid w:val="00C15242"/>
    <w:rsid w:val="00C17056"/>
    <w:rsid w:val="00C24A8C"/>
    <w:rsid w:val="00C330D7"/>
    <w:rsid w:val="00C362D0"/>
    <w:rsid w:val="00C532A2"/>
    <w:rsid w:val="00C629EF"/>
    <w:rsid w:val="00C7033E"/>
    <w:rsid w:val="00C82073"/>
    <w:rsid w:val="00C8281F"/>
    <w:rsid w:val="00CB1666"/>
    <w:rsid w:val="00CB215A"/>
    <w:rsid w:val="00CB5E2E"/>
    <w:rsid w:val="00CC2107"/>
    <w:rsid w:val="00CE1CF4"/>
    <w:rsid w:val="00CE2F1A"/>
    <w:rsid w:val="00CF0C17"/>
    <w:rsid w:val="00D05267"/>
    <w:rsid w:val="00D0674B"/>
    <w:rsid w:val="00D06A32"/>
    <w:rsid w:val="00D2297B"/>
    <w:rsid w:val="00D32343"/>
    <w:rsid w:val="00D519BD"/>
    <w:rsid w:val="00D622B5"/>
    <w:rsid w:val="00D721A2"/>
    <w:rsid w:val="00D812C6"/>
    <w:rsid w:val="00D83F58"/>
    <w:rsid w:val="00D905DA"/>
    <w:rsid w:val="00D967C7"/>
    <w:rsid w:val="00DA2890"/>
    <w:rsid w:val="00DC49D9"/>
    <w:rsid w:val="00DC7F78"/>
    <w:rsid w:val="00DD3B50"/>
    <w:rsid w:val="00DE2C7F"/>
    <w:rsid w:val="00DE4162"/>
    <w:rsid w:val="00E00EA0"/>
    <w:rsid w:val="00E112E0"/>
    <w:rsid w:val="00E37191"/>
    <w:rsid w:val="00E516EE"/>
    <w:rsid w:val="00E842DD"/>
    <w:rsid w:val="00EA0DE7"/>
    <w:rsid w:val="00EA567A"/>
    <w:rsid w:val="00EB5D54"/>
    <w:rsid w:val="00F200BB"/>
    <w:rsid w:val="00F31513"/>
    <w:rsid w:val="00F34612"/>
    <w:rsid w:val="00F62ECB"/>
    <w:rsid w:val="00F86C69"/>
    <w:rsid w:val="00FA0A10"/>
    <w:rsid w:val="00FD0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F53A"/>
  <w15:chartTrackingRefBased/>
  <w15:docId w15:val="{4458E4BF-0605-4A23-9954-ECEA6D22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7A8B"/>
    <w:pPr>
      <w:ind w:left="720"/>
      <w:contextualSpacing/>
    </w:pPr>
  </w:style>
  <w:style w:type="character" w:styleId="Lienhypertexte">
    <w:name w:val="Hyperlink"/>
    <w:basedOn w:val="Policepardfaut"/>
    <w:uiPriority w:val="99"/>
    <w:unhideWhenUsed/>
    <w:rsid w:val="00D812C6"/>
    <w:rPr>
      <w:color w:val="0563C1" w:themeColor="hyperlink"/>
      <w:u w:val="single"/>
    </w:rPr>
  </w:style>
  <w:style w:type="character" w:styleId="Mentionnonrsolue">
    <w:name w:val="Unresolved Mention"/>
    <w:basedOn w:val="Policepardfaut"/>
    <w:uiPriority w:val="99"/>
    <w:semiHidden/>
    <w:unhideWhenUsed/>
    <w:rsid w:val="00D812C6"/>
    <w:rPr>
      <w:color w:val="605E5C"/>
      <w:shd w:val="clear" w:color="auto" w:fill="E1DFDD"/>
    </w:rPr>
  </w:style>
  <w:style w:type="paragraph" w:styleId="NormalWeb">
    <w:name w:val="Normal (Web)"/>
    <w:basedOn w:val="Normal"/>
    <w:uiPriority w:val="99"/>
    <w:semiHidden/>
    <w:unhideWhenUsed/>
    <w:rsid w:val="00014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014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54125">
      <w:bodyDiv w:val="1"/>
      <w:marLeft w:val="0"/>
      <w:marRight w:val="0"/>
      <w:marTop w:val="0"/>
      <w:marBottom w:val="0"/>
      <w:divBdr>
        <w:top w:val="none" w:sz="0" w:space="0" w:color="auto"/>
        <w:left w:val="none" w:sz="0" w:space="0" w:color="auto"/>
        <w:bottom w:val="none" w:sz="0" w:space="0" w:color="auto"/>
        <w:right w:val="none" w:sz="0" w:space="0" w:color="auto"/>
      </w:divBdr>
    </w:div>
    <w:div w:id="920219081">
      <w:bodyDiv w:val="1"/>
      <w:marLeft w:val="0"/>
      <w:marRight w:val="0"/>
      <w:marTop w:val="0"/>
      <w:marBottom w:val="0"/>
      <w:divBdr>
        <w:top w:val="none" w:sz="0" w:space="0" w:color="auto"/>
        <w:left w:val="none" w:sz="0" w:space="0" w:color="auto"/>
        <w:bottom w:val="none" w:sz="0" w:space="0" w:color="auto"/>
        <w:right w:val="none" w:sz="0" w:space="0" w:color="auto"/>
      </w:divBdr>
    </w:div>
    <w:div w:id="19120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ZGAJNAR</dc:creator>
  <cp:keywords/>
  <dc:description/>
  <cp:lastModifiedBy>Georges Zgajnar</cp:lastModifiedBy>
  <cp:revision>2</cp:revision>
  <cp:lastPrinted>2025-05-28T07:18:00Z</cp:lastPrinted>
  <dcterms:created xsi:type="dcterms:W3CDTF">2025-05-28T09:40:00Z</dcterms:created>
  <dcterms:modified xsi:type="dcterms:W3CDTF">2025-05-28T09:40:00Z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19f0c-bea1-442e-a475-ed109d9ec508_Enabled">
    <vt:lpwstr>true</vt:lpwstr>
  </property>
  <property fmtid="{D5CDD505-2E9C-101B-9397-08002B2CF9AE}" pid="3" name="MSIP_Label_48a19f0c-bea1-442e-a475-ed109d9ec508_SetDate">
    <vt:lpwstr>2024-06-14T06:18:27Z</vt:lpwstr>
  </property>
  <property fmtid="{D5CDD505-2E9C-101B-9397-08002B2CF9AE}" pid="4" name="MSIP_Label_48a19f0c-bea1-442e-a475-ed109d9ec508_Method">
    <vt:lpwstr>Standard</vt:lpwstr>
  </property>
  <property fmtid="{D5CDD505-2E9C-101B-9397-08002B2CF9AE}" pid="5" name="MSIP_Label_48a19f0c-bea1-442e-a475-ed109d9ec508_Name">
    <vt:lpwstr>48a19f0c-bea1-442e-a475-ed109d9ec508</vt:lpwstr>
  </property>
  <property fmtid="{D5CDD505-2E9C-101B-9397-08002B2CF9AE}" pid="6" name="MSIP_Label_48a19f0c-bea1-442e-a475-ed109d9ec508_SiteId">
    <vt:lpwstr>d5bb6d35-8a82-4329-b49a-5030bd6497ab</vt:lpwstr>
  </property>
  <property fmtid="{D5CDD505-2E9C-101B-9397-08002B2CF9AE}" pid="7" name="MSIP_Label_48a19f0c-bea1-442e-a475-ed109d9ec508_ActionId">
    <vt:lpwstr>dd2fafe2-f6f6-406e-a152-2d864135d84d</vt:lpwstr>
  </property>
  <property fmtid="{D5CDD505-2E9C-101B-9397-08002B2CF9AE}" pid="8" name="MSIP_Label_48a19f0c-bea1-442e-a475-ed109d9ec508_ContentBits">
    <vt:lpwstr>0</vt:lpwstr>
  </property>
</Properties>
</file>